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COSO</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COSO</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modern world experience high levels of fraud, which has been propelled by advancements in technology. For this reason, therefore, many business organizations commit themselves to provide security for their finances. The companies ensure financial security through the adoption of best safety practices and sophisticated frameworks. The majority of the companies prefer the COSO Framework as the best threat combating framework</w:t>
      </w:r>
      <w:r>
        <w:rPr>
          <w:rFonts w:ascii="Times New Roman" w:cs="Times New Roman" w:hAnsi="Times New Roman"/>
          <w:sz w:val="24"/>
          <w:szCs w:val="24"/>
        </w:rPr>
        <w:t xml:space="preserve"> (Pierce et al., 2016)</w:t>
      </w:r>
      <w:r>
        <w:rPr>
          <w:rFonts w:ascii="Times New Roman" w:cs="Times New Roman" w:hAnsi="Times New Roman"/>
          <w:sz w:val="24"/>
          <w:szCs w:val="24"/>
        </w:rPr>
        <w:t>.  COSO provides a model for evaluating the methods adopted to manage risks within the internal environment of a company. It is worth noting that COSO proves to be the safest and most secure model in all types of companies. However, the implementation of the COSO framework to some business organization does not meet the standards which the structure dictates. Some organization does not apply the required change in risk management as strategized in the COSO framework. The principles of the COSO framework provide core pillars of the entire model, and therefore, companies should strive to embrace the requirements of the structure entirely.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Brief History of COSO Framework</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term COSO is an abbreviation for the Committee of Sponsoring Organizations of the </w:t>
      </w:r>
      <w:r>
        <w:rPr>
          <w:rFonts w:ascii="Times New Roman" w:cs="Times New Roman" w:hAnsi="Times New Roman"/>
          <w:sz w:val="24"/>
          <w:szCs w:val="24"/>
        </w:rPr>
        <w:t>Treadway</w:t>
      </w:r>
      <w:r>
        <w:rPr>
          <w:rFonts w:ascii="Times New Roman" w:cs="Times New Roman" w:hAnsi="Times New Roman"/>
          <w:sz w:val="24"/>
          <w:szCs w:val="24"/>
        </w:rPr>
        <w:t xml:space="preserve"> Commission. The proponent of the COSO framework is a committee that developed the “Internal Control-Integrated Framework” in 1992</w:t>
      </w:r>
      <w:r>
        <w:rPr>
          <w:rFonts w:ascii="Times New Roman" w:cs="Times New Roman" w:hAnsi="Times New Roman"/>
          <w:sz w:val="24"/>
          <w:szCs w:val="24"/>
        </w:rPr>
        <w:t xml:space="preserve"> </w:t>
      </w:r>
      <w:r>
        <w:rPr>
          <w:rFonts w:ascii="Times New Roman" w:cs="Times New Roman" w:hAnsi="Times New Roman"/>
          <w:sz w:val="24"/>
          <w:szCs w:val="24"/>
        </w:rPr>
        <w:t>(Pierce et al., 2016)</w:t>
      </w:r>
      <w:r>
        <w:rPr>
          <w:rFonts w:ascii="Times New Roman" w:cs="Times New Roman" w:hAnsi="Times New Roman"/>
          <w:sz w:val="24"/>
          <w:szCs w:val="24"/>
        </w:rPr>
        <w:t xml:space="preserve">. The primary aim of the frame was to help business organizations across all types of industries and organization sizes to measure the success of their internal environment control structures effectively. Therefore, the frame earned the name COSO Framework in 1992. It suffices to note that the COSO Framework provided the basis for making high-quality financial statements by the various companies that adopted it. The COSO foundation ensured its clients that the figures contained in the financial </w:t>
      </w:r>
      <w:r>
        <w:rPr>
          <w:rFonts w:ascii="Times New Roman" w:cs="Times New Roman" w:hAnsi="Times New Roman"/>
          <w:sz w:val="24"/>
          <w:szCs w:val="24"/>
        </w:rPr>
        <w:t>report are of value to the overall growth of the organizations. Therefore, the foundation provided guidelines that pertained to the business decision making of the COSO Framework users.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COSO Foundation emphasized on the use of five tenets constituting the “COSO Pyramid.” The principles include Control Environment found at the bottom of the pyramid, Risk Assessment tenet, which forms the second component of the pyramid, Control Activities which connect to the fourth tenet: Information and Communication, and lastly, the Monitoring Activities tenet. For a company to successfully manage risks and lay strategies for achieving business objectives, it had to embrace the principles of the COSO Pyramid from bottom up</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Kimbell</w:t>
      </w:r>
      <w:r>
        <w:rPr>
          <w:rFonts w:ascii="Times New Roman" w:cs="Times New Roman" w:hAnsi="Times New Roman"/>
          <w:sz w:val="24"/>
          <w:szCs w:val="24"/>
        </w:rPr>
        <w:t>, 2017)</w:t>
      </w:r>
      <w:r>
        <w:rPr>
          <w:rFonts w:ascii="Times New Roman" w:cs="Times New Roman" w:hAnsi="Times New Roman"/>
          <w:sz w:val="24"/>
          <w:szCs w:val="24"/>
        </w:rPr>
        <w:t>. The five components of the COSO Pyramid form cumulatively provide the 17 principles of the COSO Framework. The table below describes the elements of the COSO Framework.</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73"/>
        <w:gridCol w:w="6486"/>
      </w:tblGrid>
      <w:tr>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b/>
                <w:bCs/>
                <w:sz w:val="24"/>
                <w:szCs w:val="24"/>
              </w:rPr>
              <w:t xml:space="preserve">The Five components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b/>
                <w:bCs/>
                <w:sz w:val="24"/>
                <w:szCs w:val="24"/>
              </w:rPr>
              <w:t xml:space="preserve">The </w:t>
            </w:r>
            <w:r>
              <w:rPr>
                <w:rFonts w:ascii="Times New Roman" w:cs="Times New Roman" w:hAnsi="Times New Roman"/>
                <w:b/>
                <w:bCs/>
                <w:sz w:val="24"/>
                <w:szCs w:val="24"/>
              </w:rPr>
              <w:t>Principles</w:t>
            </w:r>
            <w:r>
              <w:rPr>
                <w:rFonts w:ascii="Times New Roman" w:cs="Times New Roman" w:hAnsi="Times New Roman"/>
                <w:b/>
                <w:bCs/>
                <w:sz w:val="24"/>
                <w:szCs w:val="24"/>
              </w:rPr>
              <w:t xml:space="preserve"> of COSO Framework </w:t>
            </w:r>
          </w:p>
        </w:tc>
      </w:tr>
      <w:tr>
        <w:tblPrEx/>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Control environment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Appeals to committed teamwork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Demonstrate professionalism and work ethics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Ensure the oversight responsibility of organization board</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Establish relevant authorities</w:t>
            </w:r>
            <w:r>
              <w:rPr>
                <w:rFonts w:ascii="Times New Roman" w:cs="Times New Roman" w:hAnsi="Times New Roman"/>
                <w:sz w:val="24"/>
                <w:szCs w:val="24"/>
              </w:rPr>
              <w:t xml:space="preserve"> and</w:t>
            </w:r>
            <w:r>
              <w:rPr>
                <w:rFonts w:ascii="Times New Roman" w:cs="Times New Roman" w:hAnsi="Times New Roman"/>
                <w:sz w:val="24"/>
                <w:szCs w:val="24"/>
              </w:rPr>
              <w:t xml:space="preserve"> their</w:t>
            </w:r>
            <w:r>
              <w:rPr>
                <w:rFonts w:ascii="Times New Roman" w:cs="Times New Roman" w:hAnsi="Times New Roman"/>
                <w:sz w:val="24"/>
                <w:szCs w:val="24"/>
              </w:rPr>
              <w:t xml:space="preserve"> responsibilities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Ensure accountability of all workers</w:t>
            </w:r>
          </w:p>
        </w:tc>
      </w:tr>
      <w:tr>
        <w:tblPrEx/>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Risk assessment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it specifies relevant objectives </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it identifies and manage risks </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it evaluates financial security and fraud</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it identifies changes that may alter the internal control</w:t>
            </w:r>
          </w:p>
        </w:tc>
      </w:tr>
      <w:tr>
        <w:tblPrEx/>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Control activities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179"/>
              <w:numPr>
                <w:ilvl w:val="0"/>
                <w:numId w:val="8"/>
              </w:numPr>
              <w:spacing w:lineRule="auto" w:line="480"/>
              <w:jc w:val="both"/>
              <w:rPr>
                <w:rFonts w:ascii="Times New Roman" w:cs="Times New Roman" w:hAnsi="Times New Roman"/>
                <w:sz w:val="24"/>
                <w:szCs w:val="24"/>
              </w:rPr>
            </w:pPr>
            <w:r>
              <w:rPr>
                <w:rFonts w:ascii="Times New Roman" w:cs="Times New Roman" w:hAnsi="Times New Roman"/>
                <w:sz w:val="24"/>
                <w:szCs w:val="24"/>
              </w:rPr>
              <w:t>Formulates the strategies that manage risks</w:t>
            </w:r>
          </w:p>
          <w:p>
            <w:pPr>
              <w:pStyle w:val="style179"/>
              <w:numPr>
                <w:ilvl w:val="0"/>
                <w:numId w:val="8"/>
              </w:numPr>
              <w:spacing w:lineRule="auto" w:line="480"/>
              <w:jc w:val="both"/>
              <w:rPr>
                <w:rFonts w:ascii="Times New Roman" w:cs="Times New Roman" w:hAnsi="Times New Roman"/>
                <w:sz w:val="24"/>
                <w:szCs w:val="24"/>
              </w:rPr>
            </w:pPr>
            <w:r>
              <w:rPr>
                <w:rFonts w:ascii="Times New Roman" w:cs="Times New Roman" w:hAnsi="Times New Roman"/>
                <w:sz w:val="24"/>
                <w:szCs w:val="24"/>
              </w:rPr>
              <w:t>Embraces technology controls</w:t>
            </w:r>
          </w:p>
          <w:p>
            <w:pPr>
              <w:pStyle w:val="style179"/>
              <w:numPr>
                <w:ilvl w:val="0"/>
                <w:numId w:val="8"/>
              </w:numPr>
              <w:spacing w:lineRule="auto" w:line="480"/>
              <w:jc w:val="both"/>
              <w:rPr>
                <w:rFonts w:ascii="Times New Roman" w:cs="Times New Roman" w:hAnsi="Times New Roman"/>
                <w:sz w:val="24"/>
                <w:szCs w:val="24"/>
              </w:rPr>
            </w:pPr>
            <w:r>
              <w:rPr>
                <w:rFonts w:ascii="Times New Roman" w:cs="Times New Roman" w:hAnsi="Times New Roman"/>
                <w:sz w:val="24"/>
                <w:szCs w:val="24"/>
              </w:rPr>
              <w:t>Formulate polices and steps to implement control strategies</w:t>
            </w:r>
          </w:p>
        </w:tc>
      </w:tr>
      <w:tr>
        <w:tblPrEx/>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Information and communication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179"/>
              <w:numPr>
                <w:ilvl w:val="0"/>
                <w:numId w:val="7"/>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Involve useful communication in control </w:t>
            </w:r>
            <w:r>
              <w:rPr>
                <w:rFonts w:ascii="Times New Roman" w:cs="Times New Roman" w:hAnsi="Times New Roman"/>
                <w:sz w:val="24"/>
                <w:szCs w:val="24"/>
              </w:rPr>
              <w:t>activi</w:t>
            </w:r>
            <w:r>
              <w:rPr>
                <w:rFonts w:ascii="Times New Roman" w:cs="Times New Roman" w:hAnsi="Times New Roman"/>
                <w:sz w:val="24"/>
                <w:szCs w:val="24"/>
              </w:rPr>
              <w:t>ti</w:t>
            </w:r>
            <w:r>
              <w:rPr>
                <w:rFonts w:ascii="Times New Roman" w:cs="Times New Roman" w:hAnsi="Times New Roman"/>
                <w:sz w:val="24"/>
                <w:szCs w:val="24"/>
              </w:rPr>
              <w:t>es</w:t>
            </w:r>
          </w:p>
          <w:p>
            <w:pPr>
              <w:pStyle w:val="style179"/>
              <w:numPr>
                <w:ilvl w:val="0"/>
                <w:numId w:val="7"/>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Ensures effective internal environment communication </w:t>
            </w:r>
          </w:p>
          <w:p>
            <w:pPr>
              <w:pStyle w:val="style179"/>
              <w:numPr>
                <w:ilvl w:val="0"/>
                <w:numId w:val="7"/>
              </w:numPr>
              <w:spacing w:lineRule="auto" w:line="480"/>
              <w:jc w:val="both"/>
              <w:rPr>
                <w:rFonts w:ascii="Times New Roman" w:cs="Times New Roman" w:hAnsi="Times New Roman"/>
                <w:sz w:val="24"/>
                <w:szCs w:val="24"/>
              </w:rPr>
            </w:pPr>
            <w:r>
              <w:rPr>
                <w:rFonts w:ascii="Times New Roman" w:cs="Times New Roman" w:hAnsi="Times New Roman"/>
                <w:sz w:val="24"/>
                <w:szCs w:val="24"/>
              </w:rPr>
              <w:t>Ensure effective internal to external communication</w:t>
            </w:r>
          </w:p>
        </w:tc>
      </w:tr>
      <w:tr>
        <w:tblPrEx/>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Monitoring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pPr>
              <w:pStyle w:val="style0"/>
              <w:numPr>
                <w:ilvl w:val="0"/>
                <w:numId w:val="6"/>
              </w:numPr>
              <w:spacing w:lineRule="auto" w:line="480"/>
              <w:jc w:val="both"/>
              <w:rPr>
                <w:rFonts w:ascii="Times New Roman" w:cs="Times New Roman" w:hAnsi="Times New Roman"/>
                <w:sz w:val="24"/>
                <w:szCs w:val="24"/>
              </w:rPr>
            </w:pPr>
            <w:r>
              <w:rPr>
                <w:rFonts w:ascii="Times New Roman" w:cs="Times New Roman" w:hAnsi="Times New Roman"/>
                <w:sz w:val="24"/>
                <w:szCs w:val="24"/>
              </w:rPr>
              <w:t>Ensure both current and periodic evaluation of internal control</w:t>
            </w:r>
          </w:p>
          <w:p>
            <w:pPr>
              <w:pStyle w:val="style0"/>
              <w:numPr>
                <w:ilvl w:val="0"/>
                <w:numId w:val="6"/>
              </w:numPr>
              <w:spacing w:lineRule="auto" w:line="480"/>
              <w:jc w:val="both"/>
              <w:rPr>
                <w:rFonts w:ascii="Times New Roman" w:cs="Times New Roman" w:hAnsi="Times New Roman"/>
                <w:sz w:val="24"/>
                <w:szCs w:val="24"/>
              </w:rPr>
            </w:pPr>
            <w:r>
              <w:rPr>
                <w:rFonts w:ascii="Times New Roman" w:cs="Times New Roman" w:hAnsi="Times New Roman"/>
                <w:sz w:val="24"/>
                <w:szCs w:val="24"/>
              </w:rPr>
              <w:t>Give report on weaknesses of internal control</w:t>
            </w: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Importance of Annual Financial Report of the Walmart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annual report of the Walmart </w:t>
      </w:r>
      <w:r>
        <w:rPr>
          <w:rFonts w:ascii="Times New Roman" w:cs="Times New Roman" w:hAnsi="Times New Roman"/>
          <w:sz w:val="24"/>
          <w:szCs w:val="24"/>
        </w:rPr>
        <w:t>Company</w:t>
      </w:r>
      <w:r>
        <w:rPr>
          <w:rFonts w:ascii="Times New Roman" w:cs="Times New Roman" w:hAnsi="Times New Roman"/>
          <w:sz w:val="24"/>
          <w:szCs w:val="24"/>
        </w:rPr>
        <w:t xml:space="preserve"> provides relevant information on the fiscal year.</w:t>
      </w:r>
      <w:r>
        <w:rPr>
          <w:rFonts w:ascii="Times New Roman" w:cs="Times New Roman" w:hAnsi="Times New Roman"/>
          <w:sz w:val="24"/>
          <w:szCs w:val="24"/>
        </w:rPr>
        <w:t xml:space="preserve"> Usually, the graphs and charts expressing statistical data helps to break down complex information hence making it understandable</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Yang,</w:t>
      </w:r>
      <w:r>
        <w:rPr>
          <w:rFonts w:ascii="Times New Roman" w:cs="Times New Roman" w:hAnsi="Times New Roman"/>
          <w:sz w:val="24"/>
          <w:szCs w:val="24"/>
        </w:rPr>
        <w:t xml:space="preserve"> et al., 2019)</w:t>
      </w:r>
      <w:r>
        <w:rPr>
          <w:rFonts w:ascii="Times New Roman" w:cs="Times New Roman" w:hAnsi="Times New Roman"/>
          <w:sz w:val="24"/>
          <w:szCs w:val="24"/>
        </w:rPr>
        <w:t>. The balance sheet, financial summary, income statement and cash flow statement are components of the annual reports which communicate about the growth of the internal environment of the Walmart Company. Usually, the Walmart Company i</w:t>
      </w:r>
      <w:r>
        <w:rPr>
          <w:rFonts w:ascii="Times New Roman" w:cs="Times New Roman" w:hAnsi="Times New Roman"/>
          <w:sz w:val="24"/>
          <w:szCs w:val="24"/>
        </w:rPr>
        <w:t>ncludes financial notes to account for the accounting methods used to record the company’s transaction and report transaction in each fiscal year.</w:t>
      </w:r>
      <w:r>
        <w:rPr>
          <w:rFonts w:ascii="Times New Roman" w:cs="Times New Roman" w:hAnsi="Times New Roman"/>
          <w:sz w:val="24"/>
          <w:szCs w:val="24"/>
        </w:rPr>
        <w:t xml:space="preserve"> Also important is that the financial notes accounts for the methods used by the Walmart Company to give pension, the depreciation of the company’s e</w:t>
      </w:r>
      <w:r>
        <w:rPr>
          <w:rFonts w:ascii="Times New Roman" w:cs="Times New Roman" w:hAnsi="Times New Roman"/>
          <w:sz w:val="24"/>
          <w:szCs w:val="24"/>
        </w:rPr>
        <w:t>quipment and stock transactions option.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It suffices to conclude that with the help of COSO Framework companies experience financial security and growth of its internal environment which constitute leadership structure, </w:t>
      </w:r>
      <w:r>
        <w:rPr>
          <w:rFonts w:ascii="Times New Roman" w:cs="Times New Roman" w:hAnsi="Times New Roman"/>
          <w:sz w:val="24"/>
          <w:szCs w:val="24"/>
        </w:rPr>
        <w:t>facilities etc. The financial reports given by companies every year reflect the properties owned as well as what the companies owe. In addition</w:t>
      </w:r>
      <w:r>
        <w:rPr>
          <w:rFonts w:ascii="Times New Roman" w:cs="Times New Roman" w:hAnsi="Times New Roman"/>
          <w:sz w:val="24"/>
          <w:szCs w:val="24"/>
        </w:rPr>
        <w:t>, the</w:t>
      </w:r>
      <w:r>
        <w:rPr>
          <w:rFonts w:ascii="Times New Roman" w:cs="Times New Roman" w:hAnsi="Times New Roman"/>
          <w:sz w:val="24"/>
          <w:szCs w:val="24"/>
        </w:rPr>
        <w:t xml:space="preserve"> funding operations of a company are captured reflecting its growth internally and externally.</w:t>
      </w:r>
      <w:r>
        <w:rPr>
          <w:rFonts w:ascii="Times New Roman" w:cs="Times New Roman" w:hAnsi="Times New Roman"/>
          <w:sz w:val="24"/>
          <w:szCs w:val="24"/>
        </w:rPr>
        <w:t xml:space="preserve"> All these management strategies are captured in the five components of the COSO Framework.</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Kimbell</w:t>
      </w:r>
      <w:r>
        <w:rPr>
          <w:rFonts w:ascii="Times New Roman" w:cs="Times New Roman" w:hAnsi="Times New Roman"/>
          <w:sz w:val="24"/>
          <w:szCs w:val="24"/>
        </w:rPr>
        <w:t>, J. (2017). How the sec makes rules by proxy with Sarbanes-Oxley and COSO 2.0: A pedagogical note. </w:t>
      </w:r>
      <w:r>
        <w:rPr>
          <w:rFonts w:ascii="Times New Roman" w:cs="Times New Roman" w:hAnsi="Times New Roman"/>
          <w:i/>
          <w:iCs/>
          <w:sz w:val="24"/>
          <w:szCs w:val="24"/>
        </w:rPr>
        <w:t>Kimbell</w:t>
      </w:r>
      <w:r>
        <w:rPr>
          <w:rFonts w:ascii="Times New Roman" w:cs="Times New Roman" w:hAnsi="Times New Roman"/>
          <w:i/>
          <w:iCs/>
          <w:sz w:val="24"/>
          <w:szCs w:val="24"/>
        </w:rPr>
        <w:t>, JP (2017). How the SEC Makes Rules by Proxy With Sarbanes-Oxley and COSO</w:t>
      </w:r>
      <w:r>
        <w:rPr>
          <w:rFonts w:ascii="Times New Roman" w:cs="Times New Roman" w:hAnsi="Times New Roman"/>
          <w:sz w:val="24"/>
          <w:szCs w:val="24"/>
        </w:rPr>
        <w:t>, </w:t>
      </w:r>
      <w:r>
        <w:rPr>
          <w:rFonts w:ascii="Times New Roman" w:cs="Times New Roman" w:hAnsi="Times New Roman"/>
          <w:i/>
          <w:iCs/>
          <w:sz w:val="24"/>
          <w:szCs w:val="24"/>
        </w:rPr>
        <w:t>2</w:t>
      </w:r>
      <w:r>
        <w:rPr>
          <w:rFonts w:ascii="Times New Roman" w:cs="Times New Roman" w:hAnsi="Times New Roman"/>
          <w:sz w:val="24"/>
          <w:szCs w:val="24"/>
        </w:rPr>
        <w:t>, 221-238.</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Pierce, E. M., Goldstein, J., &amp; Pierce, E. (2016, October). Moving from enterprise risk management to strategic risk management: examining the revised COSO ERM framework. In </w:t>
      </w:r>
      <w:r>
        <w:rPr>
          <w:rFonts w:ascii="Times New Roman" w:cs="Times New Roman" w:hAnsi="Times New Roman"/>
          <w:i/>
          <w:iCs/>
          <w:sz w:val="24"/>
          <w:szCs w:val="24"/>
        </w:rPr>
        <w:t>14th G</w:t>
      </w:r>
      <w:bookmarkStart w:id="0" w:name="_GoBack"/>
      <w:bookmarkEnd w:id="0"/>
      <w:r>
        <w:rPr>
          <w:rFonts w:ascii="Times New Roman" w:cs="Times New Roman" w:hAnsi="Times New Roman"/>
          <w:i/>
          <w:iCs/>
          <w:sz w:val="24"/>
          <w:szCs w:val="24"/>
        </w:rPr>
        <w:t xml:space="preserve">lobal Conference on </w:t>
      </w:r>
      <w:r>
        <w:rPr>
          <w:rFonts w:ascii="Times New Roman" w:cs="Times New Roman" w:hAnsi="Times New Roman"/>
          <w:i/>
          <w:iCs/>
          <w:sz w:val="24"/>
          <w:szCs w:val="24"/>
        </w:rPr>
        <w:t>Busness</w:t>
      </w:r>
      <w:r>
        <w:rPr>
          <w:rFonts w:ascii="Times New Roman" w:cs="Times New Roman" w:hAnsi="Times New Roman"/>
          <w:i/>
          <w:iCs/>
          <w:sz w:val="24"/>
          <w:szCs w:val="24"/>
        </w:rPr>
        <w:t xml:space="preserve"> and Economics</w:t>
      </w:r>
      <w:r>
        <w:rPr>
          <w:rFonts w:ascii="Times New Roman" w:cs="Times New Roman" w:hAnsi="Times New Roman"/>
          <w:i/>
          <w:iCs/>
          <w:sz w:val="24"/>
          <w:szCs w:val="24"/>
        </w:rPr>
        <w:t>,(</w:t>
      </w:r>
      <w:r>
        <w:rPr>
          <w:rFonts w:ascii="Times New Roman" w:cs="Times New Roman" w:hAnsi="Times New Roman"/>
          <w:i/>
          <w:iCs/>
          <w:sz w:val="24"/>
          <w:szCs w:val="24"/>
        </w:rPr>
        <w:t>October)</w:t>
      </w:r>
      <w:r>
        <w:rPr>
          <w:rFonts w:ascii="Times New Roman" w:cs="Times New Roman" w:hAnsi="Times New Roman"/>
          <w:sz w:val="24"/>
          <w:szCs w:val="24"/>
        </w:rPr>
        <w:t>.</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Yang, S. Y., Liu, F. C., Zhu, X., &amp; Yen, D. C. (2019). A Graph Mining Approach to Identify Financial Reporting Patterns: An Empirical Examination of Industry Classifications. </w:t>
      </w:r>
      <w:r>
        <w:rPr>
          <w:rFonts w:ascii="Times New Roman" w:cs="Times New Roman" w:hAnsi="Times New Roman"/>
          <w:i/>
          <w:iCs/>
          <w:sz w:val="24"/>
          <w:szCs w:val="24"/>
        </w:rPr>
        <w:t>Decision Sciences</w:t>
      </w:r>
      <w:r>
        <w:rPr>
          <w:rFonts w:ascii="Times New Roman" w:cs="Times New Roman" w:hAnsi="Times New Roman"/>
          <w:sz w:val="24"/>
          <w:szCs w:val="24"/>
        </w:rPr>
        <w:t>, </w:t>
      </w:r>
      <w:r>
        <w:rPr>
          <w:rFonts w:ascii="Times New Roman" w:cs="Times New Roman" w:hAnsi="Times New Roman"/>
          <w:i/>
          <w:iCs/>
          <w:sz w:val="24"/>
          <w:szCs w:val="24"/>
        </w:rPr>
        <w:t>50</w:t>
      </w:r>
      <w:r>
        <w:rPr>
          <w:rFonts w:ascii="Times New Roman" w:cs="Times New Roman" w:hAnsi="Times New Roman"/>
          <w:sz w:val="24"/>
          <w:szCs w:val="24"/>
        </w:rPr>
        <w:t>(4), 847-876.</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COSO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9A65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multilevel"/>
    <w:tmpl w:val="33E8D3B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DC10131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75D27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412A3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multilevel"/>
    <w:tmpl w:val="DAF6B1D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hybridMultilevel"/>
    <w:tmpl w:val="0CCA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multilevel"/>
    <w:tmpl w:val="5F92CCB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multilevel"/>
    <w:tmpl w:val="8EDAC6E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3"/>
  </w:num>
  <w:num w:numId="2">
    <w:abstractNumId w:val="7"/>
  </w:num>
  <w:num w:numId="3">
    <w:abstractNumId w:val="2"/>
  </w:num>
  <w:num w:numId="4">
    <w:abstractNumId w:val="8"/>
  </w:num>
  <w:num w:numId="5">
    <w:abstractNumId w:val="1"/>
  </w:num>
  <w:num w:numId="6">
    <w:abstractNumId w:val="5"/>
  </w:num>
  <w:num w:numId="7">
    <w:abstractNumId w:val="6"/>
  </w:num>
  <w:num w:numId="8">
    <w:abstractNumId w:val="0"/>
  </w:num>
  <w:num w:numId="9">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f39ed01-ae94-4e79-a6cc-12aa5e5706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071b8a3-2ec6-44d6-887c-2939aa9f033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856</Words>
  <Pages>6</Pages>
  <Characters>4959</Characters>
  <Application>WPS Office</Application>
  <DocSecurity>0</DocSecurity>
  <Paragraphs>80</Paragraphs>
  <ScaleCrop>false</ScaleCrop>
  <LinksUpToDate>false</LinksUpToDate>
  <CharactersWithSpaces>5925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2020-03-31T08:01:47Z</dcterms:created>
  <dc:creator>kilonzi</dc:creator>
  <lastModifiedBy>STK-L21</lastModifiedBy>
  <dcterms:modified xsi:type="dcterms:W3CDTF">2020-03-31T08:01:47Z</dcterms:modified>
  <revision>49</revision>
</coreProperties>
</file>

<file path=docProps/custom.xml><?xml version="1.0" encoding="utf-8"?>
<Properties xmlns="http://schemas.openxmlformats.org/officeDocument/2006/custom-properties" xmlns:vt="http://schemas.openxmlformats.org/officeDocument/2006/docPropsVTypes"/>
</file>